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5D5917" w14:paraId="7232983F" w14:textId="77777777">
        <w:tc>
          <w:tcPr>
            <w:tcW w:w="2127" w:type="dxa"/>
            <w:shd w:val="clear" w:color="auto" w:fill="D71016"/>
          </w:tcPr>
          <w:p w14:paraId="124CC068" w14:textId="77777777" w:rsidR="005D5917" w:rsidRDefault="00464F2E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257E1D31" w14:textId="77777777" w:rsidR="005D5917" w:rsidRDefault="00464F2E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Enstitüsü </w:t>
            </w:r>
          </w:p>
        </w:tc>
      </w:tr>
      <w:tr w:rsidR="005D5917" w14:paraId="4E56139B" w14:textId="77777777">
        <w:tc>
          <w:tcPr>
            <w:tcW w:w="2127" w:type="dxa"/>
            <w:shd w:val="clear" w:color="auto" w:fill="D71016"/>
          </w:tcPr>
          <w:p w14:paraId="1A07929D" w14:textId="77777777" w:rsidR="005D5917" w:rsidRDefault="00464F2E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2F904FE7" w14:textId="77777777" w:rsidR="005D5917" w:rsidRDefault="00464F2E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Yönetim Kurulu</w:t>
            </w:r>
          </w:p>
        </w:tc>
      </w:tr>
      <w:tr w:rsidR="005D5917" w14:paraId="0A0CD2BD" w14:textId="77777777">
        <w:tc>
          <w:tcPr>
            <w:tcW w:w="2127" w:type="dxa"/>
            <w:shd w:val="clear" w:color="auto" w:fill="D71016"/>
          </w:tcPr>
          <w:p w14:paraId="573AEE1C" w14:textId="77777777" w:rsidR="005D5917" w:rsidRDefault="00464F2E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0ACD88FC" w14:textId="77777777" w:rsidR="005D5917" w:rsidRDefault="00464F2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5D5917" w14:paraId="13B8E577" w14:textId="77777777">
        <w:tc>
          <w:tcPr>
            <w:tcW w:w="2127" w:type="dxa"/>
            <w:shd w:val="clear" w:color="auto" w:fill="D71016"/>
          </w:tcPr>
          <w:p w14:paraId="28FD5010" w14:textId="77777777" w:rsidR="005D5917" w:rsidRDefault="00464F2E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18F54085" w14:textId="77777777" w:rsidR="005D5917" w:rsidRDefault="00464F2E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747D415" w14:textId="77777777" w:rsidR="005D5917" w:rsidRDefault="005D5917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D5917" w14:paraId="691C9680" w14:textId="77777777">
        <w:tc>
          <w:tcPr>
            <w:tcW w:w="10065" w:type="dxa"/>
            <w:shd w:val="clear" w:color="auto" w:fill="D71016"/>
          </w:tcPr>
          <w:p w14:paraId="599FF8E7" w14:textId="77777777" w:rsidR="005D5917" w:rsidRDefault="00464F2E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5D5917" w14:paraId="43E2E05B" w14:textId="77777777">
        <w:tc>
          <w:tcPr>
            <w:tcW w:w="10065" w:type="dxa"/>
            <w:shd w:val="clear" w:color="auto" w:fill="FFFFFF" w:themeFill="background1"/>
          </w:tcPr>
          <w:p w14:paraId="08C68B83" w14:textId="77777777" w:rsidR="005D5917" w:rsidRDefault="00464F2E">
            <w:pPr>
              <w:spacing w:line="276" w:lineRule="auto"/>
              <w:ind w:left="34" w:hanging="34"/>
              <w:jc w:val="both"/>
            </w:pPr>
            <w:r>
              <w:t xml:space="preserve">Enstitü Yönetim Kurulu yönetim kurulu, enstitü müdürünün başkanlığında enstitü kurulu </w:t>
            </w:r>
            <w:r>
              <w:t>tarafından, üç yıl için seçilen üç öğretim üyesinden oluşur. Enstitü yönetim kurulu, müdürün çağrısı üzerine toplanır. Yönetim kurulu, gerekli gördüğü hallerde geçici çalışma grupları, eğitim-öğretim koordinatörlükleri kurabilir ve bunların görevlerini düz</w:t>
            </w:r>
            <w:r>
              <w:t>enler.</w:t>
            </w:r>
          </w:p>
        </w:tc>
      </w:tr>
    </w:tbl>
    <w:p w14:paraId="71C5CCA3" w14:textId="77777777" w:rsidR="005D5917" w:rsidRDefault="005D5917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D5917" w14:paraId="122F0944" w14:textId="77777777">
        <w:tc>
          <w:tcPr>
            <w:tcW w:w="10065" w:type="dxa"/>
            <w:shd w:val="clear" w:color="auto" w:fill="D71016"/>
          </w:tcPr>
          <w:p w14:paraId="4C48714A" w14:textId="77777777" w:rsidR="005D5917" w:rsidRDefault="00464F2E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Yetki ve Sorumluluklar</w:t>
            </w:r>
          </w:p>
        </w:tc>
      </w:tr>
      <w:tr w:rsidR="005D5917" w14:paraId="6828B719" w14:textId="77777777">
        <w:tc>
          <w:tcPr>
            <w:tcW w:w="10065" w:type="dxa"/>
            <w:shd w:val="clear" w:color="auto" w:fill="FFFFFF" w:themeFill="background1"/>
          </w:tcPr>
          <w:p w14:paraId="31831FF7" w14:textId="77777777" w:rsidR="005D5917" w:rsidRDefault="00464F2E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jc w:val="both"/>
            </w:pPr>
            <w:r>
              <w:t>Enstitü kurulunun kararları ile tespit ettiği esasların uygulanmasında müdüre yardım etmek,</w:t>
            </w:r>
          </w:p>
          <w:p w14:paraId="0E6E0B4B" w14:textId="77777777" w:rsidR="005D5917" w:rsidRDefault="00464F2E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jc w:val="both"/>
            </w:pPr>
            <w:r>
              <w:t>Enstitünün eğitim-öğretim, plan ve programları ile takviminin uygulanmasını sağlamak,</w:t>
            </w:r>
          </w:p>
          <w:p w14:paraId="2EB3F771" w14:textId="77777777" w:rsidR="005D5917" w:rsidRDefault="00464F2E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jc w:val="both"/>
            </w:pPr>
            <w:r>
              <w:t xml:space="preserve">Müdürün enstitü yönetimi ile ilgili </w:t>
            </w:r>
            <w:r>
              <w:t>getireceği bütün işlerde karar almak,</w:t>
            </w:r>
          </w:p>
          <w:p w14:paraId="4928708F" w14:textId="77777777" w:rsidR="005D5917" w:rsidRDefault="00464F2E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jc w:val="both"/>
            </w:pPr>
            <w:r>
              <w:t>Öğrencilerin kabulü, ders intibakları ve çıkarılmaları ile eğitim-öğretim ve sınavlara ait işlemleri hakkında karar vermek,</w:t>
            </w:r>
          </w:p>
          <w:p w14:paraId="2F72F4DE" w14:textId="77777777" w:rsidR="005D5917" w:rsidRDefault="00464F2E">
            <w:pPr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jc w:val="both"/>
            </w:pPr>
            <w:r>
              <w:t>İlgili kanun ve yönetmeliklerle verilen diğer görevleri yapmaktır.</w:t>
            </w:r>
          </w:p>
        </w:tc>
      </w:tr>
    </w:tbl>
    <w:p w14:paraId="7D051ABC" w14:textId="77777777" w:rsidR="005D5917" w:rsidRDefault="005D5917">
      <w:pPr>
        <w:pStyle w:val="AralkYok"/>
        <w:rPr>
          <w:rFonts w:ascii="Times New Roman" w:hAnsi="Times New Roman" w:cs="Times New Roman"/>
        </w:rPr>
      </w:pPr>
    </w:p>
    <w:p w14:paraId="47DFAAA3" w14:textId="77777777" w:rsidR="005D5917" w:rsidRDefault="005D5917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AA2114B" w14:textId="77777777" w:rsidR="005D5917" w:rsidRDefault="005D5917">
      <w:pPr>
        <w:pStyle w:val="AralkYok"/>
        <w:rPr>
          <w:rFonts w:ascii="Cambria" w:hAnsi="Cambria"/>
          <w:b/>
          <w:bCs/>
          <w:color w:val="002060"/>
        </w:rPr>
      </w:pPr>
    </w:p>
    <w:p w14:paraId="667E6188" w14:textId="77777777" w:rsidR="005D5917" w:rsidRDefault="005D5917">
      <w:pPr>
        <w:pStyle w:val="AralkYok"/>
        <w:rPr>
          <w:rFonts w:ascii="Cambria" w:hAnsi="Cambria"/>
          <w:b/>
          <w:bCs/>
          <w:color w:val="002060"/>
        </w:rPr>
      </w:pPr>
    </w:p>
    <w:p w14:paraId="19707ED7" w14:textId="77777777" w:rsidR="005D5917" w:rsidRDefault="005D5917">
      <w:pPr>
        <w:pStyle w:val="AralkYok"/>
        <w:rPr>
          <w:rFonts w:ascii="Cambria" w:hAnsi="Cambria"/>
          <w:b/>
          <w:bCs/>
          <w:color w:val="002060"/>
        </w:rPr>
      </w:pPr>
    </w:p>
    <w:p w14:paraId="0BBECF2E" w14:textId="77777777" w:rsidR="005D5917" w:rsidRDefault="005D5917">
      <w:pPr>
        <w:pStyle w:val="AralkYok"/>
        <w:rPr>
          <w:rFonts w:ascii="Cambria" w:hAnsi="Cambria"/>
          <w:b/>
          <w:bCs/>
          <w:color w:val="002060"/>
        </w:rPr>
      </w:pPr>
    </w:p>
    <w:p w14:paraId="321EDFB8" w14:textId="77777777" w:rsidR="005D5917" w:rsidRDefault="005D5917">
      <w:pPr>
        <w:pStyle w:val="AralkYok"/>
        <w:rPr>
          <w:rFonts w:ascii="Cambria" w:hAnsi="Cambria"/>
          <w:b/>
          <w:bCs/>
          <w:color w:val="002060"/>
        </w:rPr>
      </w:pPr>
    </w:p>
    <w:p w14:paraId="65795EAC" w14:textId="77777777" w:rsidR="005D5917" w:rsidRDefault="005D5917">
      <w:pPr>
        <w:pStyle w:val="AralkYok"/>
        <w:rPr>
          <w:rFonts w:ascii="Cambria" w:hAnsi="Cambria"/>
        </w:rPr>
      </w:pPr>
    </w:p>
    <w:sectPr w:rsidR="005D5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ABE7" w14:textId="77777777" w:rsidR="00464F2E" w:rsidRDefault="00464F2E">
      <w:r>
        <w:separator/>
      </w:r>
    </w:p>
  </w:endnote>
  <w:endnote w:type="continuationSeparator" w:id="0">
    <w:p w14:paraId="172C6447" w14:textId="77777777" w:rsidR="00464F2E" w:rsidRDefault="0046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15F4" w14:textId="77777777" w:rsidR="00BE2131" w:rsidRDefault="00BE21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8FE3" w14:textId="77777777" w:rsidR="005D5917" w:rsidRDefault="005D5917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5D5917" w14:paraId="426B8461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4A31AA6A" w14:textId="77777777" w:rsidR="005D5917" w:rsidRDefault="00464F2E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6E639220" w14:textId="77777777" w:rsidR="005D5917" w:rsidRDefault="00464F2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7CE9CBDC" w14:textId="77777777" w:rsidR="005D5917" w:rsidRDefault="00464F2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Birim Kalite </w:t>
          </w:r>
          <w:r>
            <w:rPr>
              <w:sz w:val="22"/>
              <w:szCs w:val="22"/>
            </w:rPr>
            <w:t>Sorumlusu</w:t>
          </w:r>
        </w:p>
        <w:p w14:paraId="303EA90A" w14:textId="77777777" w:rsidR="005D5917" w:rsidRDefault="005D591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EE7B0AF" w14:textId="77777777" w:rsidR="005D5917" w:rsidRDefault="005D591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4972116D" w14:textId="77777777" w:rsidR="005D5917" w:rsidRDefault="00464F2E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38135325" w14:textId="77777777" w:rsidR="005D5917" w:rsidRDefault="00464F2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58699665" w14:textId="77777777" w:rsidR="005D5917" w:rsidRDefault="00464F2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65BB865E" w14:textId="77777777" w:rsidR="005D5917" w:rsidRDefault="005D591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61EB0A5" w14:textId="77777777" w:rsidR="005D5917" w:rsidRDefault="005D5917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31C2604B" w14:textId="77777777" w:rsidR="005D5917" w:rsidRDefault="005D5917">
    <w:pPr>
      <w:tabs>
        <w:tab w:val="center" w:pos="4536"/>
        <w:tab w:val="right" w:pos="9072"/>
      </w:tabs>
    </w:pPr>
  </w:p>
  <w:p w14:paraId="08F4FC09" w14:textId="77777777" w:rsidR="005D5917" w:rsidRDefault="005D5917">
    <w:pPr>
      <w:pStyle w:val="AltBilgi"/>
    </w:pPr>
  </w:p>
  <w:p w14:paraId="39759021" w14:textId="77777777" w:rsidR="005D5917" w:rsidRDefault="005D59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03FC" w14:textId="77777777" w:rsidR="00BE2131" w:rsidRDefault="00BE21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DC09" w14:textId="77777777" w:rsidR="00464F2E" w:rsidRDefault="00464F2E">
      <w:r>
        <w:separator/>
      </w:r>
    </w:p>
  </w:footnote>
  <w:footnote w:type="continuationSeparator" w:id="0">
    <w:p w14:paraId="704979A6" w14:textId="77777777" w:rsidR="00464F2E" w:rsidRDefault="0046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5A59" w14:textId="77777777" w:rsidR="00BE2131" w:rsidRDefault="00BE21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5D5917" w14:paraId="4EF7BEDA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C1F586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2F3682A" wp14:editId="3EEFDC03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F4BB11" w14:textId="77777777" w:rsidR="005D5917" w:rsidRDefault="005D591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53B96D84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GÖREV, </w:t>
          </w:r>
          <w:r>
            <w:rPr>
              <w:rFonts w:eastAsia="Arial"/>
              <w:b/>
              <w:color w:val="000000"/>
              <w:sz w:val="28"/>
              <w:szCs w:val="28"/>
            </w:rPr>
            <w:t>YETKİ VE SORUMLULUKLAR</w:t>
          </w:r>
        </w:p>
        <w:p w14:paraId="0BAB41FD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FEN BİLİMLERİ ENSTİTÜSÜ</w:t>
          </w:r>
        </w:p>
        <w:p w14:paraId="440F4301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YÖNETİM KURULU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8A4AC4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630D09" w14:textId="1E8E1D6D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BE2131">
            <w:rPr>
              <w:rFonts w:eastAsia="Arial"/>
              <w:color w:val="000000"/>
              <w:sz w:val="18"/>
              <w:szCs w:val="18"/>
            </w:rPr>
            <w:t>172</w:t>
          </w:r>
        </w:p>
      </w:tc>
    </w:tr>
    <w:tr w:rsidR="005D5917" w14:paraId="50083F70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618DF6" w14:textId="77777777" w:rsidR="005D5917" w:rsidRDefault="005D5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8FC4E5" w14:textId="77777777" w:rsidR="005D5917" w:rsidRDefault="005D5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817DAD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BF32AF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5D5917" w14:paraId="4CEBB69C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7679B0" w14:textId="77777777" w:rsidR="005D5917" w:rsidRDefault="005D5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273226" w14:textId="77777777" w:rsidR="005D5917" w:rsidRDefault="005D5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BBB425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FACF33" w14:textId="1E72AC68" w:rsidR="005D5917" w:rsidRDefault="00BE2131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464F2E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5D5917" w14:paraId="61AA7C8D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C96BC5" w14:textId="77777777" w:rsidR="005D5917" w:rsidRDefault="005D5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382A07" w14:textId="77777777" w:rsidR="005D5917" w:rsidRDefault="005D5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B110A0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D7D245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5D5917" w14:paraId="24EBDDBB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79251B" w14:textId="77777777" w:rsidR="005D5917" w:rsidRDefault="005D5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916EA1" w14:textId="77777777" w:rsidR="005D5917" w:rsidRDefault="005D5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4DC697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C8803A" w14:textId="77777777" w:rsidR="005D5917" w:rsidRDefault="00464F2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07A60C4E" w14:textId="77777777" w:rsidR="005D5917" w:rsidRDefault="005D5917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5822" w14:textId="77777777" w:rsidR="00BE2131" w:rsidRDefault="00BE21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C68E3"/>
    <w:multiLevelType w:val="hybridMultilevel"/>
    <w:tmpl w:val="A4D4F892"/>
    <w:lvl w:ilvl="0" w:tplc="4A368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AF84B25"/>
    <w:multiLevelType w:val="hybridMultilevel"/>
    <w:tmpl w:val="4D16B50A"/>
    <w:lvl w:ilvl="0" w:tplc="783038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416C4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F377BB"/>
    <w:multiLevelType w:val="hybridMultilevel"/>
    <w:tmpl w:val="A8F8DE50"/>
    <w:lvl w:ilvl="0" w:tplc="2C98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8"/>
  </w:num>
  <w:num w:numId="5">
    <w:abstractNumId w:val="9"/>
  </w:num>
  <w:num w:numId="6">
    <w:abstractNumId w:val="17"/>
  </w:num>
  <w:num w:numId="7">
    <w:abstractNumId w:val="20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21"/>
  </w:num>
  <w:num w:numId="19">
    <w:abstractNumId w:val="10"/>
  </w:num>
  <w:num w:numId="20">
    <w:abstractNumId w:val="2"/>
  </w:num>
  <w:num w:numId="21">
    <w:abstractNumId w:val="5"/>
  </w:num>
  <w:num w:numId="22">
    <w:abstractNumId w:val="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17"/>
    <w:rsid w:val="00464F2E"/>
    <w:rsid w:val="005D5917"/>
    <w:rsid w:val="00B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1DB6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Cs w:val="20"/>
      <w:lang w:eastAsia="tr-TR"/>
    </w:rPr>
  </w:style>
  <w:style w:type="paragraph" w:styleId="GvdeMetniGirintisi">
    <w:name w:val="Body Text Indent"/>
    <w:basedOn w:val="Normal"/>
    <w:link w:val="GvdeMetniGirintisiChar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10</cp:revision>
  <dcterms:created xsi:type="dcterms:W3CDTF">2025-02-06T15:24:00Z</dcterms:created>
  <dcterms:modified xsi:type="dcterms:W3CDTF">2025-04-15T07:01:00Z</dcterms:modified>
</cp:coreProperties>
</file>